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ascii="仿宋_GB2312" w:eastAsia="仿宋_GB2312"/>
          <w:bCs/>
          <w:color w:val="000000" w:themeColor="text1"/>
          <w:sz w:val="44"/>
          <w:szCs w:val="44"/>
          <w14:textFill>
            <w14:solidFill>
              <w14:schemeClr w14:val="tx1"/>
            </w14:solidFill>
          </w14:textFill>
        </w:rPr>
      </w:pPr>
    </w:p>
    <w:p>
      <w:pPr>
        <w:adjustRightInd w:val="0"/>
        <w:snapToGrid w:val="0"/>
        <w:spacing w:line="620" w:lineRule="exact"/>
        <w:jc w:val="cente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t>鞍山地区202</w:t>
      </w:r>
      <w:r>
        <w:rPr>
          <w:rFonts w:hint="eastAsia" w:asciiTheme="majorEastAsia" w:hAnsiTheme="majorEastAsia" w:eastAsiaTheme="majorEastAsia" w:cstheme="majorEastAsia"/>
          <w:b/>
          <w:bCs w:val="0"/>
          <w:color w:val="000000" w:themeColor="text1"/>
          <w:sz w:val="44"/>
          <w:szCs w:val="44"/>
          <w:lang w:val="en-US" w:eastAsia="zh-CN"/>
          <w14:textFill>
            <w14:solidFill>
              <w14:schemeClr w14:val="tx1"/>
            </w14:solidFill>
          </w14:textFill>
        </w:rPr>
        <w:t>2</w:t>
      </w:r>
      <w: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t>年有序用电方案</w:t>
      </w:r>
    </w:p>
    <w:p>
      <w:pPr>
        <w:spacing w:line="580" w:lineRule="exact"/>
        <w:ind w:firstLine="720" w:firstLineChars="200"/>
        <w:rPr>
          <w:rFonts w:ascii="仿宋_GB2312" w:eastAsia="仿宋_GB2312"/>
          <w:bCs/>
          <w:color w:val="000000" w:themeColor="text1"/>
          <w:sz w:val="36"/>
          <w:szCs w:val="36"/>
          <w14:textFill>
            <w14:solidFill>
              <w14:schemeClr w14:val="tx1"/>
            </w14:solidFill>
          </w14:textFill>
        </w:rPr>
      </w:pPr>
    </w:p>
    <w:p>
      <w:pPr>
        <w:spacing w:line="580" w:lineRule="exact"/>
        <w:ind w:firstLine="627" w:firstLineChars="200"/>
        <w:rPr>
          <w:rStyle w:val="8"/>
          <w:rFonts w:hint="eastAsia" w:ascii="楷体" w:hAnsi="楷体" w:eastAsia="楷体" w:cs="楷体"/>
          <w:b/>
          <w:bCs/>
          <w:color w:val="000000" w:themeColor="text1"/>
          <w:spacing w:val="-4"/>
          <w:sz w:val="32"/>
          <w:szCs w:val="32"/>
          <w14:textFill>
            <w14:solidFill>
              <w14:schemeClr w14:val="tx1"/>
            </w14:solidFill>
          </w14:textFill>
        </w:rPr>
      </w:pPr>
      <w:r>
        <w:rPr>
          <w:rStyle w:val="8"/>
          <w:rFonts w:hint="eastAsia" w:ascii="楷体" w:hAnsi="楷体" w:eastAsia="楷体" w:cs="楷体"/>
          <w:b/>
          <w:bCs/>
          <w:color w:val="000000" w:themeColor="text1"/>
          <w:spacing w:val="-4"/>
          <w:sz w:val="32"/>
          <w:szCs w:val="32"/>
          <w14:textFill>
            <w14:solidFill>
              <w14:schemeClr w14:val="tx1"/>
            </w14:solidFill>
          </w14:textFill>
        </w:rPr>
        <w:t>一、引言</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更好地保证鞍山地区电力供应，规范有序用电管理，保证地区经济发展和人民生活用电需求，确保电网安全稳定运行，防止电网大面积停电和崩溃事故发生，根据《有序用电管理办法》（发改运行〔2011〕832号）、《辽宁省工业和信息化厅关于组织编制2022年有序用电方案的通知》（辽工信电力〔2022〕73号）结合我市电力供需情况，编制本方案。</w:t>
      </w:r>
    </w:p>
    <w:p>
      <w:pPr>
        <w:spacing w:line="580" w:lineRule="exact"/>
        <w:ind w:firstLine="627" w:firstLineChars="200"/>
        <w:rPr>
          <w:rStyle w:val="8"/>
          <w:rFonts w:hint="eastAsia" w:ascii="楷体" w:hAnsi="楷体" w:eastAsia="楷体" w:cs="楷体"/>
          <w:b/>
          <w:bCs/>
          <w:color w:val="000000" w:themeColor="text1"/>
          <w:spacing w:val="-4"/>
          <w:sz w:val="32"/>
          <w:szCs w:val="32"/>
          <w14:textFill>
            <w14:solidFill>
              <w14:schemeClr w14:val="tx1"/>
            </w14:solidFill>
          </w14:textFill>
        </w:rPr>
      </w:pPr>
      <w:r>
        <w:rPr>
          <w:rStyle w:val="8"/>
          <w:rFonts w:hint="eastAsia" w:ascii="楷体" w:hAnsi="楷体" w:eastAsia="楷体" w:cs="楷体"/>
          <w:b/>
          <w:bCs/>
          <w:color w:val="000000" w:themeColor="text1"/>
          <w:spacing w:val="-4"/>
          <w:sz w:val="32"/>
          <w:szCs w:val="32"/>
          <w14:textFill>
            <w14:solidFill>
              <w14:schemeClr w14:val="tx1"/>
            </w14:solidFill>
          </w14:textFill>
        </w:rPr>
        <w:t>二、有序用电工作原则</w:t>
      </w:r>
    </w:p>
    <w:p>
      <w:pPr>
        <w:spacing w:line="55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（一）总体原则</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有序用电方案要坚持全省统筹、区域协调、行业平衡，遵循安全稳定、有保有限、注重预防，按照先错峰、后避峰、再限电、最后拉闸的顺序安排电力电量平衡。要严格保障民生和重要用户用电，坚持用户知情、合同约定，坚持限电不拉闸，结合我市“两高”实际情况，科学有序安排。定用户、定负荷、定周期、定线路，确保可操作、可执行、可考核、可追溯。</w:t>
      </w:r>
    </w:p>
    <w:p>
      <w:pPr>
        <w:spacing w:line="55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（二）工作原则</w:t>
      </w:r>
    </w:p>
    <w:p>
      <w:pPr>
        <w:pStyle w:val="6"/>
        <w:widowControl w:val="0"/>
        <w:adjustRightInd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方案编制依据安全稳定、有保有限、注重预防为原则。</w:t>
      </w:r>
    </w:p>
    <w:p>
      <w:pPr>
        <w:pStyle w:val="6"/>
        <w:widowControl w:val="0"/>
        <w:adjustRightInd w:val="0"/>
        <w:spacing w:before="0" w:beforeAutospacing="0" w:after="0" w:afterAutospacing="0" w:line="58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1.安全稳定。</w:t>
      </w:r>
      <w:r>
        <w:rPr>
          <w:rFonts w:hint="eastAsia" w:ascii="仿宋_GB2312" w:hAnsi="仿宋_GB2312" w:eastAsia="仿宋_GB2312" w:cs="仿宋_GB2312"/>
          <w:sz w:val="32"/>
          <w:szCs w:val="32"/>
        </w:rPr>
        <w:t>坚持“总量控制，结构优化”，供电紧张时期，统筹电网运行安全、电力设备安全、供用电秩序稳定，将有序用电对全市经济社会发展的影响控制在最小限度。</w:t>
      </w:r>
    </w:p>
    <w:p>
      <w:pPr>
        <w:pStyle w:val="6"/>
        <w:widowControl w:val="0"/>
        <w:adjustRightInd w:val="0"/>
        <w:spacing w:before="0" w:beforeAutospacing="0" w:after="0" w:afterAutospacing="0" w:line="580" w:lineRule="exact"/>
        <w:ind w:firstLine="643"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2.有保有限。</w:t>
      </w:r>
      <w:r>
        <w:rPr>
          <w:rFonts w:hint="eastAsia" w:ascii="仿宋_GB2312" w:hAnsi="仿宋" w:eastAsia="仿宋_GB2312" w:cs="Times New Roman"/>
          <w:color w:val="000000" w:themeColor="text1"/>
          <w:sz w:val="32"/>
          <w:szCs w:val="32"/>
          <w14:textFill>
            <w14:solidFill>
              <w14:schemeClr w14:val="tx1"/>
            </w14:solidFill>
          </w14:textFill>
        </w:rPr>
        <w:t>坚持“先生活、后生产、有保有限”，优先保障居民生活和涉及公共利益，国家安全的重点用户用电需求，以工业限制本地区“两高”用户用电负荷，牙尖产能过剩行业用电和不合理用电需求。</w:t>
      </w:r>
    </w:p>
    <w:p>
      <w:pPr>
        <w:pStyle w:val="6"/>
        <w:widowControl w:val="0"/>
        <w:adjustRightInd w:val="0"/>
        <w:spacing w:before="0" w:beforeAutospacing="0" w:after="0" w:afterAutospacing="0" w:line="580" w:lineRule="exact"/>
        <w:ind w:firstLine="643"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3.注重预防。</w:t>
      </w:r>
      <w:r>
        <w:rPr>
          <w:rFonts w:hint="eastAsia" w:ascii="仿宋_GB2312" w:hAnsi="仿宋" w:eastAsia="仿宋_GB2312" w:cs="Times New Roman"/>
          <w:color w:val="000000" w:themeColor="text1"/>
          <w:sz w:val="32"/>
          <w:szCs w:val="32"/>
          <w14:textFill>
            <w14:solidFill>
              <w14:schemeClr w14:val="tx1"/>
            </w14:solidFill>
          </w14:textFill>
        </w:rPr>
        <w:t>坚持“科学调度，提前准备”，加强电力供需平衡预测分析，及时发布电力供需预警信息，提前做好有序用电各项准备，有效提升应急响应能力。</w:t>
      </w:r>
    </w:p>
    <w:p>
      <w:pPr>
        <w:pStyle w:val="6"/>
        <w:widowControl w:val="0"/>
        <w:adjustRightInd w:val="0"/>
        <w:spacing w:before="0" w:beforeAutospacing="0" w:after="0" w:afterAutospacing="0" w:line="580" w:lineRule="exact"/>
        <w:ind w:firstLine="643" w:firstLineChars="200"/>
        <w:jc w:val="both"/>
        <w:rPr>
          <w:rFonts w:ascii="仿宋_GB2312" w:hAnsi="楷体" w:eastAsia="仿宋_GB2312" w:cs="Times New Roman"/>
          <w:b/>
          <w:bCs/>
          <w:color w:val="000000" w:themeColor="text1"/>
          <w:sz w:val="32"/>
          <w:szCs w:val="32"/>
          <w14:textFill>
            <w14:solidFill>
              <w14:schemeClr w14:val="tx1"/>
            </w14:solidFill>
          </w14:textFill>
        </w:rPr>
      </w:pPr>
      <w:r>
        <w:rPr>
          <w:rFonts w:hint="eastAsia" w:ascii="仿宋_GB2312" w:hAnsi="楷体" w:eastAsia="仿宋_GB2312" w:cs="Times New Roman"/>
          <w:b/>
          <w:bCs/>
          <w:color w:val="000000" w:themeColor="text1"/>
          <w:sz w:val="32"/>
          <w:szCs w:val="32"/>
          <w14:textFill>
            <w14:solidFill>
              <w14:schemeClr w14:val="tx1"/>
            </w14:solidFill>
          </w14:textFill>
        </w:rPr>
        <w:t>（三）优先保障以下用电</w:t>
      </w:r>
    </w:p>
    <w:p>
      <w:pPr>
        <w:adjustRightInd w:val="0"/>
        <w:spacing w:line="580" w:lineRule="exact"/>
        <w:ind w:firstLine="640"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lang w:val="en-US" w:eastAsia="zh-CN"/>
          <w14:textFill>
            <w14:solidFill>
              <w14:schemeClr w14:val="tx1"/>
            </w14:solidFill>
          </w14:textFill>
        </w:rPr>
        <w:t>1.</w:t>
      </w:r>
      <w:r>
        <w:rPr>
          <w:rFonts w:hint="eastAsia" w:ascii="仿宋_GB2312" w:hAnsi="仿宋" w:eastAsia="仿宋_GB2312"/>
          <w:color w:val="000000" w:themeColor="text1"/>
          <w:kern w:val="0"/>
          <w:sz w:val="32"/>
          <w:szCs w:val="32"/>
          <w14:textFill>
            <w14:solidFill>
              <w14:schemeClr w14:val="tx1"/>
            </w14:solidFill>
          </w14:textFill>
        </w:rPr>
        <w:t>应急指挥和处置部门，主要党政军机关，广播、电视、电信、交通、监狱等关系国家安全和社会秩序的用户;</w:t>
      </w:r>
    </w:p>
    <w:p>
      <w:pPr>
        <w:adjustRightInd w:val="0"/>
        <w:spacing w:line="580" w:lineRule="exact"/>
        <w:ind w:firstLine="640"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kern w:val="0"/>
          <w:sz w:val="32"/>
          <w:szCs w:val="32"/>
          <w14:textFill>
            <w14:solidFill>
              <w14:schemeClr w14:val="tx1"/>
            </w14:solidFill>
          </w14:textFill>
        </w:rPr>
        <w:t>危险化学品生产、矿井等停电将导致重大人身伤害或设备严重损坏企业的保安负荷;</w:t>
      </w:r>
    </w:p>
    <w:p>
      <w:pPr>
        <w:adjustRightInd w:val="0"/>
        <w:spacing w:line="580" w:lineRule="exact"/>
        <w:ind w:firstLine="640"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lang w:val="en-US" w:eastAsia="zh-CN"/>
          <w14:textFill>
            <w14:solidFill>
              <w14:schemeClr w14:val="tx1"/>
            </w14:solidFill>
          </w14:textFill>
        </w:rPr>
        <w:t>3.</w:t>
      </w:r>
      <w:r>
        <w:rPr>
          <w:rFonts w:hint="eastAsia" w:ascii="仿宋_GB2312" w:hAnsi="仿宋" w:eastAsia="仿宋_GB2312"/>
          <w:color w:val="000000" w:themeColor="text1"/>
          <w:kern w:val="0"/>
          <w:sz w:val="32"/>
          <w:szCs w:val="32"/>
          <w14:textFill>
            <w14:solidFill>
              <w14:schemeClr w14:val="tx1"/>
            </w14:solidFill>
          </w14:textFill>
        </w:rPr>
        <w:t>重大社会活动场所、医院、金融机构、学校等关系群众生命财产安全的用户;</w:t>
      </w:r>
    </w:p>
    <w:p>
      <w:pPr>
        <w:adjustRightInd w:val="0"/>
        <w:spacing w:line="580" w:lineRule="exact"/>
        <w:ind w:firstLine="640"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lang w:val="en-US" w:eastAsia="zh-CN"/>
          <w14:textFill>
            <w14:solidFill>
              <w14:schemeClr w14:val="tx1"/>
            </w14:solidFill>
          </w14:textFill>
        </w:rPr>
        <w:t>4.</w:t>
      </w:r>
      <w:r>
        <w:rPr>
          <w:rFonts w:hint="eastAsia" w:ascii="仿宋_GB2312" w:hAnsi="仿宋" w:eastAsia="仿宋_GB2312"/>
          <w:color w:val="000000" w:themeColor="text1"/>
          <w:kern w:val="0"/>
          <w:sz w:val="32"/>
          <w:szCs w:val="32"/>
          <w14:textFill>
            <w14:solidFill>
              <w14:schemeClr w14:val="tx1"/>
            </w14:solidFill>
          </w14:textFill>
        </w:rPr>
        <w:t>供水、供热、供能等基础设施用户;</w:t>
      </w:r>
    </w:p>
    <w:p>
      <w:pPr>
        <w:adjustRightInd w:val="0"/>
        <w:spacing w:line="580" w:lineRule="exact"/>
        <w:ind w:firstLine="640"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lang w:val="en-US" w:eastAsia="zh-CN"/>
          <w14:textFill>
            <w14:solidFill>
              <w14:schemeClr w14:val="tx1"/>
            </w14:solidFill>
          </w14:textFill>
        </w:rPr>
        <w:t>5.</w:t>
      </w:r>
      <w:r>
        <w:rPr>
          <w:rFonts w:hint="eastAsia" w:ascii="仿宋_GB2312" w:hAnsi="仿宋" w:eastAsia="仿宋_GB2312"/>
          <w:color w:val="000000" w:themeColor="text1"/>
          <w:kern w:val="0"/>
          <w:sz w:val="32"/>
          <w:szCs w:val="32"/>
          <w14:textFill>
            <w14:solidFill>
              <w14:schemeClr w14:val="tx1"/>
            </w14:solidFill>
          </w14:textFill>
        </w:rPr>
        <w:t>居民生活，排灌、化肥生产等农业生产用电;</w:t>
      </w:r>
    </w:p>
    <w:p>
      <w:pPr>
        <w:adjustRightInd w:val="0"/>
        <w:spacing w:line="580" w:lineRule="exact"/>
        <w:ind w:firstLine="640"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lang w:val="en-US" w:eastAsia="zh-CN"/>
          <w14:textFill>
            <w14:solidFill>
              <w14:schemeClr w14:val="tx1"/>
            </w14:solidFill>
          </w14:textFill>
        </w:rPr>
        <w:t>6.</w:t>
      </w:r>
      <w:r>
        <w:rPr>
          <w:rFonts w:hint="eastAsia" w:ascii="仿宋_GB2312" w:hAnsi="仿宋" w:eastAsia="仿宋_GB2312"/>
          <w:color w:val="000000" w:themeColor="text1"/>
          <w:kern w:val="0"/>
          <w:sz w:val="32"/>
          <w:szCs w:val="32"/>
          <w14:textFill>
            <w14:solidFill>
              <w14:schemeClr w14:val="tx1"/>
            </w14:solidFill>
          </w14:textFill>
        </w:rPr>
        <w:t>国家重点工程、军工企业。</w:t>
      </w:r>
    </w:p>
    <w:p>
      <w:pPr>
        <w:pStyle w:val="6"/>
        <w:widowControl w:val="0"/>
        <w:adjustRightInd w:val="0"/>
        <w:spacing w:before="0" w:beforeAutospacing="0" w:after="0" w:afterAutospacing="0" w:line="580" w:lineRule="exact"/>
        <w:ind w:firstLine="643" w:firstLineChars="200"/>
        <w:jc w:val="both"/>
        <w:rPr>
          <w:rFonts w:ascii="仿宋_GB2312" w:hAnsi="楷体" w:eastAsia="仿宋_GB2312" w:cs="Times New Roman"/>
          <w:b/>
          <w:bCs/>
          <w:color w:val="000000" w:themeColor="text1"/>
          <w:sz w:val="32"/>
          <w:szCs w:val="32"/>
          <w14:textFill>
            <w14:solidFill>
              <w14:schemeClr w14:val="tx1"/>
            </w14:solidFill>
          </w14:textFill>
        </w:rPr>
      </w:pPr>
      <w:r>
        <w:rPr>
          <w:rFonts w:hint="eastAsia" w:ascii="仿宋_GB2312" w:hAnsi="楷体" w:eastAsia="仿宋_GB2312" w:cs="Times New Roman"/>
          <w:b/>
          <w:bCs/>
          <w:color w:val="000000" w:themeColor="text1"/>
          <w:sz w:val="32"/>
          <w:szCs w:val="32"/>
          <w14:textFill>
            <w14:solidFill>
              <w14:schemeClr w14:val="tx1"/>
            </w14:solidFill>
          </w14:textFill>
        </w:rPr>
        <w:t>（四）重点限制以下用电</w:t>
      </w:r>
    </w:p>
    <w:p>
      <w:pPr>
        <w:adjustRightInd w:val="0"/>
        <w:snapToGrid w:val="0"/>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违规建成或在建项目;</w:t>
      </w:r>
    </w:p>
    <w:p>
      <w:pPr>
        <w:adjustRightInd w:val="0"/>
        <w:snapToGrid w:val="0"/>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产业结构调整目录中淘汰类、限制类企业;</w:t>
      </w:r>
    </w:p>
    <w:p>
      <w:pPr>
        <w:adjustRightInd w:val="0"/>
        <w:snapToGrid w:val="0"/>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单位产品能耗高于国家或地方强制性能耗限额标准的企业;</w:t>
      </w:r>
    </w:p>
    <w:p>
      <w:pPr>
        <w:adjustRightInd w:val="0"/>
        <w:snapToGrid w:val="0"/>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景观照明、亮化工程;</w:t>
      </w:r>
    </w:p>
    <w:p>
      <w:pPr>
        <w:adjustRightInd w:val="0"/>
        <w:snapToGrid w:val="0"/>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其他高耗能、高排放企业。</w:t>
      </w:r>
    </w:p>
    <w:p>
      <w:pPr>
        <w:pStyle w:val="6"/>
        <w:widowControl w:val="0"/>
        <w:adjustRightInd w:val="0"/>
        <w:spacing w:before="0" w:beforeAutospacing="0" w:after="0" w:afterAutospacing="0" w:line="580" w:lineRule="exact"/>
        <w:ind w:firstLine="643" w:firstLineChars="200"/>
        <w:jc w:val="both"/>
        <w:rPr>
          <w:rFonts w:ascii="仿宋_GB2312" w:hAnsi="楷体" w:eastAsia="仿宋_GB2312" w:cs="Times New Roman"/>
          <w:b/>
          <w:bCs/>
          <w:color w:val="000000" w:themeColor="text1"/>
          <w:sz w:val="32"/>
          <w:szCs w:val="32"/>
          <w14:textFill>
            <w14:solidFill>
              <w14:schemeClr w14:val="tx1"/>
            </w14:solidFill>
          </w14:textFill>
        </w:rPr>
      </w:pPr>
      <w:r>
        <w:rPr>
          <w:rFonts w:hint="eastAsia" w:ascii="仿宋_GB2312" w:hAnsi="楷体" w:eastAsia="仿宋_GB2312" w:cs="Times New Roman"/>
          <w:b/>
          <w:bCs/>
          <w:color w:val="000000" w:themeColor="text1"/>
          <w:sz w:val="32"/>
          <w:szCs w:val="32"/>
          <w14:textFill>
            <w14:solidFill>
              <w14:schemeClr w14:val="tx1"/>
            </w14:solidFill>
          </w14:textFill>
        </w:rPr>
        <w:t>（五）首先限制“两高”用户用电需求：</w:t>
      </w:r>
    </w:p>
    <w:p>
      <w:pPr>
        <w:adjustRightInd w:val="0"/>
        <w:snapToGrid w:val="0"/>
        <w:spacing w:line="58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高耗能用户：《国家发改委办公厅关于明确阶段性降低用电成本政策落实相关事项的函》</w:t>
      </w:r>
      <w:r>
        <w:rPr>
          <w:rFonts w:hint="eastAsia" w:ascii="仿宋_GB2312" w:hAnsi="仿宋" w:eastAsia="仿宋_GB2312"/>
          <w:color w:val="000000" w:themeColor="text1"/>
          <w:sz w:val="32"/>
          <w:szCs w:val="32"/>
          <w:lang w:eastAsia="zh-CN"/>
          <w14:textFill>
            <w14:solidFill>
              <w14:schemeClr w14:val="tx1"/>
            </w14:solidFill>
          </w14:textFill>
        </w:rPr>
        <w:t>明确了</w:t>
      </w:r>
      <w:r>
        <w:rPr>
          <w:rFonts w:hint="eastAsia" w:ascii="仿宋_GB2312" w:hAnsi="仿宋" w:eastAsia="仿宋_GB2312" w:cs="仿宋"/>
          <w:sz w:val="32"/>
          <w:szCs w:val="32"/>
        </w:rPr>
        <w:t>黑色金属冶炼和压延加工业，有色金属冶炼和压延加工业，非金属矿物制品业，石油、煤炭及其他燃料加工业，化学原料和化学制品制造业（不含肥料制造）等</w:t>
      </w:r>
      <w:r>
        <w:rPr>
          <w:rFonts w:hint="eastAsia" w:ascii="仿宋_GB2312" w:hAnsi="仿宋" w:eastAsia="仿宋_GB2312" w:cs="仿宋"/>
          <w:sz w:val="32"/>
          <w:szCs w:val="32"/>
          <w:lang w:eastAsia="zh-CN"/>
        </w:rPr>
        <w:t>为</w:t>
      </w:r>
      <w:r>
        <w:rPr>
          <w:rFonts w:hint="eastAsia" w:ascii="仿宋_GB2312" w:hAnsi="仿宋" w:eastAsia="仿宋_GB2312" w:cs="仿宋"/>
          <w:sz w:val="32"/>
          <w:szCs w:val="32"/>
        </w:rPr>
        <w:t>高耗能行业电力用户。</w:t>
      </w:r>
      <w:r>
        <w:rPr>
          <w:rFonts w:hint="eastAsia" w:ascii="仿宋_GB2312" w:hAnsi="仿宋" w:eastAsia="仿宋_GB2312" w:cs="仿宋"/>
          <w:sz w:val="32"/>
          <w:szCs w:val="32"/>
          <w:lang w:eastAsia="zh-CN"/>
        </w:rPr>
        <w:t>依据</w:t>
      </w:r>
      <w:r>
        <w:rPr>
          <w:rFonts w:hint="eastAsia" w:ascii="仿宋_GB2312" w:hAnsi="仿宋_GB2312" w:eastAsia="仿宋_GB2312" w:cs="仿宋_GB2312"/>
          <w:sz w:val="32"/>
          <w:szCs w:val="32"/>
        </w:rPr>
        <w:t>《辽宁省工业和信息化厅关于</w:t>
      </w:r>
      <w:r>
        <w:rPr>
          <w:rFonts w:hint="eastAsia" w:ascii="仿宋_GB2312" w:hAnsi="仿宋_GB2312" w:eastAsia="仿宋_GB2312" w:cs="仿宋_GB2312"/>
          <w:sz w:val="32"/>
          <w:szCs w:val="32"/>
          <w:lang w:val="en-US" w:eastAsia="zh-CN"/>
        </w:rPr>
        <w:t>做好“两高”项目有序用电管理调整2021年今冬明春有序用电方案的通知</w:t>
      </w:r>
      <w:r>
        <w:rPr>
          <w:rFonts w:hint="eastAsia" w:ascii="仿宋_GB2312" w:hAnsi="仿宋_GB2312" w:eastAsia="仿宋_GB2312" w:cs="仿宋_GB2312"/>
          <w:sz w:val="32"/>
          <w:szCs w:val="32"/>
        </w:rPr>
        <w:t>》（辽工信电力〔202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）确定高耗能用户范围。</w:t>
      </w:r>
    </w:p>
    <w:p>
      <w:pPr>
        <w:adjustRightInd w:val="0"/>
        <w:snapToGrid w:val="0"/>
        <w:spacing w:line="58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高排放用户：</w:t>
      </w:r>
      <w:r>
        <w:rPr>
          <w:rFonts w:hint="eastAsia" w:ascii="仿宋_GB2312" w:hAnsi="仿宋" w:eastAsia="仿宋_GB2312"/>
          <w:color w:val="000000" w:themeColor="text1"/>
          <w:sz w:val="32"/>
          <w:szCs w:val="32"/>
          <w:lang w:eastAsia="zh-CN"/>
          <w14:textFill>
            <w14:solidFill>
              <w14:schemeClr w14:val="tx1"/>
            </w14:solidFill>
          </w14:textFill>
        </w:rPr>
        <w:t>依据</w:t>
      </w:r>
      <w:r>
        <w:rPr>
          <w:rFonts w:hint="eastAsia" w:ascii="仿宋_GB2312" w:hAnsi="仿宋_GB2312" w:eastAsia="仿宋_GB2312" w:cs="仿宋_GB2312"/>
          <w:sz w:val="32"/>
          <w:szCs w:val="32"/>
        </w:rPr>
        <w:t>《辽宁省工业和信息化厅关于</w:t>
      </w:r>
      <w:r>
        <w:rPr>
          <w:rFonts w:hint="eastAsia" w:ascii="仿宋_GB2312" w:hAnsi="仿宋_GB2312" w:eastAsia="仿宋_GB2312" w:cs="仿宋_GB2312"/>
          <w:sz w:val="32"/>
          <w:szCs w:val="32"/>
          <w:lang w:val="en-US" w:eastAsia="zh-CN"/>
        </w:rPr>
        <w:t>做好“两高”项目有序用电管理调整2021年今冬明春有序用电方案的通知</w:t>
      </w:r>
      <w:r>
        <w:rPr>
          <w:rFonts w:hint="eastAsia" w:ascii="仿宋_GB2312" w:hAnsi="仿宋_GB2312" w:eastAsia="仿宋_GB2312" w:cs="仿宋_GB2312"/>
          <w:sz w:val="32"/>
          <w:szCs w:val="32"/>
        </w:rPr>
        <w:t>》（辽工信电力〔202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中</w:t>
      </w:r>
      <w:r>
        <w:rPr>
          <w:rFonts w:hint="eastAsia" w:ascii="仿宋_GB2312" w:hAnsi="仿宋" w:eastAsia="仿宋_GB2312"/>
          <w:color w:val="000000" w:themeColor="text1"/>
          <w:sz w:val="32"/>
          <w:szCs w:val="32"/>
          <w14:textFill>
            <w14:solidFill>
              <w14:schemeClr w14:val="tx1"/>
            </w14:solidFill>
          </w14:textFill>
        </w:rPr>
        <w:t>省生态环境厅梳理确定的高排放用户名单</w:t>
      </w:r>
      <w:r>
        <w:rPr>
          <w:rFonts w:hint="eastAsia" w:ascii="仿宋_GB2312" w:hAnsi="仿宋" w:eastAsia="仿宋_GB2312"/>
          <w:color w:val="000000" w:themeColor="text1"/>
          <w:sz w:val="32"/>
          <w:szCs w:val="32"/>
          <w:lang w:eastAsia="zh-CN"/>
          <w14:textFill>
            <w14:solidFill>
              <w14:schemeClr w14:val="tx1"/>
            </w14:solidFill>
          </w14:textFill>
        </w:rPr>
        <w:t>确定高排放用户范围</w:t>
      </w:r>
      <w:r>
        <w:rPr>
          <w:rFonts w:hint="eastAsia" w:ascii="仿宋_GB2312" w:hAnsi="仿宋" w:eastAsia="仿宋_GB2312"/>
          <w:color w:val="000000" w:themeColor="text1"/>
          <w:sz w:val="32"/>
          <w:szCs w:val="32"/>
          <w14:textFill>
            <w14:solidFill>
              <w14:schemeClr w14:val="tx1"/>
            </w14:solidFill>
          </w14:textFill>
        </w:rPr>
        <w:t>。</w:t>
      </w:r>
    </w:p>
    <w:p>
      <w:pPr>
        <w:spacing w:line="580" w:lineRule="exact"/>
        <w:ind w:firstLine="627" w:firstLineChars="200"/>
        <w:rPr>
          <w:rStyle w:val="8"/>
          <w:rFonts w:hint="eastAsia" w:ascii="楷体" w:hAnsi="楷体" w:eastAsia="楷体" w:cs="楷体"/>
          <w:b/>
          <w:bCs/>
          <w:color w:val="000000" w:themeColor="text1"/>
          <w:spacing w:val="-4"/>
          <w:sz w:val="32"/>
          <w:szCs w:val="32"/>
          <w14:textFill>
            <w14:solidFill>
              <w14:schemeClr w14:val="tx1"/>
            </w14:solidFill>
          </w14:textFill>
        </w:rPr>
      </w:pPr>
      <w:r>
        <w:rPr>
          <w:rStyle w:val="8"/>
          <w:rFonts w:hint="eastAsia" w:ascii="楷体" w:hAnsi="楷体" w:eastAsia="楷体" w:cs="楷体"/>
          <w:b/>
          <w:bCs/>
          <w:color w:val="000000" w:themeColor="text1"/>
          <w:spacing w:val="-4"/>
          <w:sz w:val="32"/>
          <w:szCs w:val="32"/>
          <w14:textFill>
            <w14:solidFill>
              <w14:schemeClr w14:val="tx1"/>
            </w14:solidFill>
          </w14:textFill>
        </w:rPr>
        <w:t>三、电力供需形势分析</w:t>
      </w:r>
    </w:p>
    <w:p>
      <w:pPr>
        <w:pStyle w:val="3"/>
        <w:spacing w:line="580" w:lineRule="exact"/>
        <w:ind w:firstLine="643" w:firstLineChars="200"/>
        <w:rPr>
          <w:rFonts w:ascii="仿宋_GB2312" w:hAnsi="楷体" w:eastAsia="仿宋_GB2312"/>
          <w:b/>
          <w:bCs/>
          <w:szCs w:val="32"/>
        </w:rPr>
      </w:pPr>
      <w:r>
        <w:rPr>
          <w:rFonts w:hint="eastAsia" w:ascii="仿宋_GB2312" w:hAnsi="楷体" w:eastAsia="仿宋_GB2312"/>
          <w:b/>
          <w:bCs/>
          <w:szCs w:val="32"/>
        </w:rPr>
        <w:t>（一）上年度电力供需情况分析</w:t>
      </w:r>
    </w:p>
    <w:p>
      <w:pPr>
        <w:pStyle w:val="3"/>
        <w:spacing w:line="580" w:lineRule="exact"/>
        <w:ind w:firstLine="640" w:firstLineChars="200"/>
        <w:rPr>
          <w:rFonts w:ascii="仿宋_GB2312" w:hAnsi="仿宋" w:eastAsia="仿宋_GB2312"/>
          <w:szCs w:val="32"/>
        </w:rPr>
      </w:pPr>
      <w:r>
        <w:rPr>
          <w:rFonts w:hint="eastAsia" w:ascii="仿宋_GB2312" w:hAnsi="仿宋" w:eastAsia="仿宋_GB2312"/>
          <w:szCs w:val="32"/>
        </w:rPr>
        <w:t>鞍山电网以工业负荷为主，峰谷差偏大，地区负荷特性呈峰谷倒置的特点，主要电源由500千伏鞍山变、王石变、唐家变和辽阳变1号主变提供。2021年鞍山地区全口径最大电力473万千瓦，网供最小电力110.7万千瓦，最大峰谷差180万千瓦，220千伏容载比1.84。2022年鞍山地区负荷高速增长，电力供需形式严峻，220千伏及以上系统潮流普遍加重，南部、北部电网供电裕度较小，重载断面有所增加，其中220千伏王代断面已接近热稳极限运行，500千伏析木变及其联网工程投产后预计鞍山南部电网及王代断面供电紧张形势在年底会得到缓解。</w:t>
      </w:r>
    </w:p>
    <w:p>
      <w:pPr>
        <w:pStyle w:val="3"/>
        <w:spacing w:line="580" w:lineRule="exact"/>
        <w:ind w:firstLine="643" w:firstLineChars="200"/>
        <w:rPr>
          <w:rFonts w:ascii="仿宋_GB2312" w:hAnsi="楷体" w:eastAsia="仿宋_GB2312"/>
          <w:b/>
          <w:bCs/>
          <w:szCs w:val="32"/>
        </w:rPr>
      </w:pPr>
      <w:r>
        <w:rPr>
          <w:rFonts w:hint="eastAsia" w:ascii="仿宋_GB2312" w:hAnsi="楷体" w:eastAsia="仿宋_GB2312"/>
          <w:b/>
          <w:bCs/>
          <w:szCs w:val="32"/>
        </w:rPr>
        <w:t>（二）地区年度用电需求分析</w:t>
      </w:r>
    </w:p>
    <w:p>
      <w:pPr>
        <w:pStyle w:val="3"/>
        <w:spacing w:line="580" w:lineRule="exact"/>
        <w:ind w:firstLine="640" w:firstLineChars="200"/>
        <w:rPr>
          <w:rFonts w:ascii="仿宋_GB2312" w:hAnsi="仿宋" w:eastAsia="仿宋_GB2312"/>
          <w:szCs w:val="32"/>
        </w:rPr>
      </w:pPr>
      <w:r>
        <w:rPr>
          <w:rFonts w:hint="eastAsia" w:ascii="仿宋_GB2312" w:hAnsi="仿宋" w:eastAsia="仿宋_GB2312"/>
          <w:szCs w:val="32"/>
        </w:rPr>
        <w:t>预计2022年鞍山电网负荷增长需求主要集中在鞍山市铁东区站前地区、海城牌楼地区及岫岩北部地区，预测2022年鞍山电网全口径最大用电负荷为490万千瓦。受500千伏供电电源裕度不足影响，2022年鞍山电网电力供需形势持续偏紧。</w:t>
      </w:r>
    </w:p>
    <w:p>
      <w:pPr>
        <w:pStyle w:val="3"/>
        <w:spacing w:line="580" w:lineRule="exact"/>
        <w:ind w:firstLine="643" w:firstLineChars="200"/>
        <w:rPr>
          <w:rFonts w:ascii="仿宋_GB2312" w:hAnsi="楷体" w:eastAsia="仿宋_GB2312"/>
          <w:b/>
          <w:bCs/>
          <w:szCs w:val="32"/>
        </w:rPr>
      </w:pPr>
      <w:r>
        <w:rPr>
          <w:rFonts w:hint="eastAsia" w:ascii="仿宋_GB2312" w:hAnsi="楷体" w:eastAsia="仿宋_GB2312"/>
          <w:b/>
          <w:bCs/>
          <w:szCs w:val="32"/>
        </w:rPr>
        <w:t>（三）地区电网输送能力分析</w:t>
      </w:r>
    </w:p>
    <w:p>
      <w:pPr>
        <w:pStyle w:val="3"/>
        <w:spacing w:line="580" w:lineRule="exact"/>
        <w:ind w:firstLine="640" w:firstLineChars="200"/>
        <w:rPr>
          <w:rFonts w:ascii="仿宋_GB2312" w:hAnsi="仿宋" w:eastAsia="仿宋_GB2312"/>
          <w:szCs w:val="32"/>
        </w:rPr>
      </w:pPr>
      <w:r>
        <w:rPr>
          <w:rFonts w:hint="eastAsia" w:ascii="仿宋_GB2312" w:hAnsi="仿宋" w:eastAsia="仿宋_GB2312"/>
          <w:szCs w:val="32"/>
        </w:rPr>
        <w:t>鞍山电网是辽宁电网乃至东北电网的负荷中心，是±500千伏伊穆直流以及辽宁中部输电通道、辽西外送通道的主要落点。鞍山电网为典型的受端电网，网内主要电源有500千伏鞍山变、王石变、唐家变和辽阳变1号主变，受500千伏主网电源，通过220千伏联络线与沈阳、辽阳、大连、盘锦、营口、本溪、锦州、丹东电网相连。按照鞍山电网的电源、负荷布局及网络结构，可将鞍山电网大致分为南部、北部、台安、岫岩四个部分。鞍山电网各220千伏变电站均实现两回及以上电源线路环网运行，各变电站均为两台或多台变压器运行。</w:t>
      </w:r>
    </w:p>
    <w:p>
      <w:pPr>
        <w:pStyle w:val="3"/>
        <w:spacing w:line="580" w:lineRule="exact"/>
        <w:ind w:firstLine="643" w:firstLineChars="200"/>
        <w:rPr>
          <w:rFonts w:ascii="仿宋_GB2312" w:hAnsi="楷体" w:eastAsia="仿宋_GB2312"/>
          <w:b/>
          <w:bCs/>
          <w:szCs w:val="32"/>
        </w:rPr>
      </w:pPr>
      <w:r>
        <w:rPr>
          <w:rFonts w:hint="eastAsia" w:ascii="仿宋_GB2312" w:hAnsi="楷体" w:eastAsia="仿宋_GB2312"/>
          <w:b/>
          <w:bCs/>
          <w:szCs w:val="32"/>
        </w:rPr>
        <w:t>（四）地区调峰能力分析</w:t>
      </w:r>
    </w:p>
    <w:p>
      <w:pPr>
        <w:pStyle w:val="3"/>
        <w:spacing w:line="580" w:lineRule="exact"/>
        <w:ind w:firstLine="640" w:firstLineChars="200"/>
        <w:rPr>
          <w:rFonts w:ascii="仿宋_GB2312" w:hAnsi="仿宋" w:eastAsia="仿宋_GB2312"/>
          <w:szCs w:val="32"/>
        </w:rPr>
      </w:pPr>
      <w:r>
        <w:rPr>
          <w:rFonts w:hint="eastAsia" w:ascii="仿宋_GB2312" w:hAnsi="仿宋" w:eastAsia="仿宋_GB2312"/>
          <w:szCs w:val="32"/>
        </w:rPr>
        <w:t>截至2021年底，鞍山电网共有10千伏及以上电厂30座，总装机容量1458.32兆瓦。其中220千伏电厂1座，装机6台，总装机容量为825 兆瓦；66千伏火电厂8座，装机28台，总装机容量373.9兆瓦；66千伏风电场1座，装机20台，总装机容量50兆瓦；10千伏火电厂6座，装机7台，总装机容量为106.5兆瓦；10千伏水电厂5座，装机14台，总装机容量为2.32兆瓦；10千伏风电厂2座，装机2台，总装机容量19兆瓦；光伏电站7座，总装机容量81.6兆瓦。</w:t>
      </w:r>
    </w:p>
    <w:p>
      <w:pPr>
        <w:pStyle w:val="3"/>
        <w:spacing w:line="580" w:lineRule="exact"/>
        <w:ind w:firstLine="643" w:firstLineChars="200"/>
        <w:rPr>
          <w:rFonts w:ascii="仿宋_GB2312" w:hAnsi="楷体" w:eastAsia="仿宋_GB2312"/>
          <w:b/>
          <w:bCs/>
          <w:szCs w:val="32"/>
        </w:rPr>
      </w:pPr>
      <w:r>
        <w:rPr>
          <w:rFonts w:hint="eastAsia" w:ascii="仿宋_GB2312" w:hAnsi="楷体" w:eastAsia="仿宋_GB2312"/>
          <w:b/>
          <w:bCs/>
          <w:szCs w:val="32"/>
        </w:rPr>
        <w:t>（五）地区电力供需平衡情况分析</w:t>
      </w:r>
    </w:p>
    <w:p>
      <w:pPr>
        <w:pStyle w:val="3"/>
        <w:spacing w:line="580" w:lineRule="exact"/>
        <w:ind w:firstLine="640" w:firstLineChars="200"/>
        <w:rPr>
          <w:rFonts w:ascii="仿宋_GB2312" w:hAnsi="仿宋" w:eastAsia="仿宋_GB2312"/>
          <w:szCs w:val="32"/>
        </w:rPr>
      </w:pPr>
      <w:r>
        <w:rPr>
          <w:rFonts w:hint="eastAsia" w:ascii="仿宋_GB2312" w:hAnsi="仿宋" w:eastAsia="仿宋_GB2312"/>
          <w:szCs w:val="32"/>
        </w:rPr>
        <w:t>鞍山北部电网由鞍山变1号、2号主变，辽阳变1号主变、3台500千伏主变供电。正常方式供电能力200万千瓦，2022年预测最大负荷190万千瓦，在夏季高温、冬季供暖高峰期可能存在小额供电缺口。</w:t>
      </w:r>
    </w:p>
    <w:p>
      <w:pPr>
        <w:pStyle w:val="3"/>
        <w:spacing w:line="580" w:lineRule="exact"/>
        <w:ind w:firstLine="640" w:firstLineChars="200"/>
        <w:rPr>
          <w:rFonts w:ascii="仿宋_GB2312" w:hAnsi="仿宋" w:eastAsia="仿宋_GB2312"/>
          <w:szCs w:val="32"/>
        </w:rPr>
      </w:pPr>
      <w:r>
        <w:rPr>
          <w:rFonts w:hint="eastAsia" w:ascii="仿宋_GB2312" w:hAnsi="仿宋" w:eastAsia="仿宋_GB2312"/>
          <w:szCs w:val="32"/>
        </w:rPr>
        <w:t>鞍山南部电网由鞍山变3号，王石变1号、2号主变，唐家变2号、3号主变5台500千伏主变供电。共分为四个潮流控制断面，其中500千伏王石主变断面正常方式供电能力140万千瓦，2022年预测最大负荷140万千瓦，将达到满载；500千伏王代断面正常方式供电能力72万千瓦，2022年预测最大负荷72万千瓦，将达到满载；500千伏鞍山#3主变、唐家#2、#3主变断面正常方式供电能力210万千瓦，2022年预测最大负荷150万千瓦；500千伏唐家#2、#3主变断面正常方式供电能力135万千瓦，2022年预测最大负荷95万千瓦。</w:t>
      </w:r>
    </w:p>
    <w:p>
      <w:pPr>
        <w:pStyle w:val="3"/>
        <w:spacing w:line="580" w:lineRule="exact"/>
        <w:ind w:firstLine="627" w:firstLineChars="200"/>
        <w:rPr>
          <w:rStyle w:val="8"/>
          <w:rFonts w:hint="eastAsia" w:ascii="楷体" w:hAnsi="楷体" w:eastAsia="楷体" w:cs="楷体"/>
          <w:b/>
          <w:color w:val="auto"/>
          <w:szCs w:val="32"/>
        </w:rPr>
      </w:pPr>
      <w:r>
        <w:rPr>
          <w:rStyle w:val="8"/>
          <w:rFonts w:hint="eastAsia" w:ascii="楷体" w:hAnsi="楷体" w:eastAsia="楷体" w:cs="楷体"/>
          <w:b/>
          <w:color w:val="000000" w:themeColor="text1"/>
          <w:spacing w:val="-4"/>
          <w:szCs w:val="32"/>
          <w14:textFill>
            <w14:solidFill>
              <w14:schemeClr w14:val="tx1"/>
            </w14:solidFill>
          </w14:textFill>
        </w:rPr>
        <w:t>四、有序用电方案</w:t>
      </w:r>
    </w:p>
    <w:p>
      <w:pPr>
        <w:pStyle w:val="6"/>
        <w:widowControl w:val="0"/>
        <w:adjustRightInd w:val="0"/>
        <w:spacing w:before="0" w:beforeAutospacing="0" w:after="0" w:afterAutospacing="0" w:line="580" w:lineRule="exact"/>
        <w:ind w:firstLine="643" w:firstLineChars="200"/>
        <w:jc w:val="both"/>
        <w:rPr>
          <w:rFonts w:ascii="仿宋_GB2312" w:hAnsi="仿宋" w:eastAsia="仿宋_GB2312" w:cs="Times New Roman"/>
          <w:b/>
          <w:bCs/>
          <w:sz w:val="32"/>
          <w:szCs w:val="32"/>
        </w:rPr>
      </w:pPr>
      <w:r>
        <w:rPr>
          <w:rFonts w:hint="eastAsia" w:ascii="仿宋_GB2312" w:hAnsi="仿宋" w:eastAsia="仿宋_GB2312" w:cs="Times New Roman"/>
          <w:b/>
          <w:bCs/>
          <w:sz w:val="32"/>
          <w:szCs w:val="32"/>
        </w:rPr>
        <w:t>（一）编制措施</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rPr>
      </w:pPr>
      <w:r>
        <w:rPr>
          <w:rFonts w:hint="eastAsia" w:ascii="仿宋_GB2312" w:hAnsi="仿宋" w:eastAsia="仿宋_GB2312" w:cs="Times New Roman"/>
          <w:sz w:val="32"/>
          <w:szCs w:val="32"/>
        </w:rPr>
        <w:t>结合2022年辽宁省及各地区电力负荷预测情况。综合考虑各市工业网供负荷占比和全口径网供负荷占比后，下达给鞍山地区的负荷调控指标是：Ⅳ级（5%及以下）21万千瓦；Ⅲ级（5-10%）42万千瓦；Ⅱ级（10-20%）70万千瓦；Ⅰ级（20%以上）105万千瓦。“两高”项目全部安排在Ⅳ级、Ⅲ级措施安排中，原则上将全部“两高”项目用电有序用电措施执行到位后，才可以对其他用户执行有序用电措施。</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color w:val="000000"/>
          <w:sz w:val="32"/>
          <w:szCs w:val="32"/>
        </w:rPr>
      </w:pPr>
      <w:r>
        <w:rPr>
          <w:rFonts w:hint="eastAsia" w:ascii="仿宋_GB2312" w:hAnsi="仿宋" w:eastAsia="仿宋_GB2312"/>
          <w:sz w:val="32"/>
          <w:szCs w:val="32"/>
        </w:rPr>
        <w:t>按</w:t>
      </w:r>
      <w:r>
        <w:rPr>
          <w:rFonts w:hint="eastAsia" w:ascii="仿宋_GB2312" w:hAnsi="仿宋" w:eastAsia="仿宋_GB2312"/>
          <w:color w:val="000000"/>
          <w:sz w:val="32"/>
          <w:szCs w:val="32"/>
        </w:rPr>
        <w:t>照我市电力用户用电特性，根据每级负荷调控指标的最大电力，以“留有裕度”为原则，合理安排有序用电措施，切实保证实施效果。</w:t>
      </w:r>
    </w:p>
    <w:p>
      <w:pPr>
        <w:spacing w:line="558"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高耗能、高排放“两高”项目用户</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列入 Ⅲ、Ⅳ级措施。</w:t>
      </w:r>
    </w:p>
    <w:p>
      <w:pPr>
        <w:spacing w:line="55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非</w:t>
      </w:r>
      <w:r>
        <w:rPr>
          <w:rFonts w:ascii="仿宋_GB2312" w:hAnsi="仿宋_GB2312" w:eastAsia="仿宋_GB2312" w:cs="仿宋_GB2312"/>
          <w:bCs/>
          <w:sz w:val="32"/>
          <w:szCs w:val="32"/>
        </w:rPr>
        <w:t>“</w:t>
      </w:r>
      <w:r>
        <w:rPr>
          <w:rFonts w:hint="eastAsia" w:ascii="仿宋_GB2312" w:hAnsi="仿宋_GB2312" w:eastAsia="仿宋_GB2312" w:cs="仿宋_GB2312"/>
          <w:sz w:val="32"/>
          <w:szCs w:val="32"/>
        </w:rPr>
        <w:t>两高”项目用户</w:t>
      </w:r>
      <w:r>
        <w:rPr>
          <w:rFonts w:hint="eastAsia" w:ascii="仿宋_GB2312" w:hAnsi="仿宋_GB2312" w:eastAsia="仿宋_GB2312" w:cs="仿宋_GB2312"/>
          <w:bCs/>
          <w:sz w:val="32"/>
          <w:szCs w:val="32"/>
        </w:rPr>
        <w:t>纺织织造及印染精加工、金属制品制造、塑料制品制造、矿物采选等2</w:t>
      </w: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类细分行业，</w:t>
      </w:r>
      <w:r>
        <w:rPr>
          <w:rFonts w:hint="eastAsia" w:ascii="仿宋_GB2312" w:hAnsi="仿宋_GB2312" w:eastAsia="仿宋_GB2312" w:cs="仿宋_GB2312"/>
          <w:sz w:val="32"/>
          <w:szCs w:val="32"/>
        </w:rPr>
        <w:t>生产负荷可随时调控,可作为“快上快下”的错峰负荷,一般无安全隐患,列入 Ⅲ级措施。</w:t>
      </w:r>
    </w:p>
    <w:p>
      <w:pPr>
        <w:spacing w:line="55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非“两高”行业其他工业：控制负荷较小，与生活关联性较大，</w:t>
      </w:r>
      <w:r>
        <w:rPr>
          <w:rFonts w:hint="eastAsia" w:ascii="仿宋_GB2312" w:hAnsi="仿宋_GB2312" w:eastAsia="仿宋_GB2312" w:cs="仿宋_GB2312"/>
          <w:sz w:val="32"/>
          <w:szCs w:val="32"/>
        </w:rPr>
        <w:t>列入 Ⅱ 级及以上措施。</w:t>
      </w:r>
    </w:p>
    <w:p>
      <w:pPr>
        <w:spacing w:line="55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商业和服务业:行业用电负荷较小,实施有序用电能力弱,</w:t>
      </w:r>
      <w:r>
        <w:rPr>
          <w:rFonts w:hint="eastAsia" w:ascii="仿宋_GB2312" w:hAnsi="仿宋_GB2312" w:eastAsia="仿宋_GB2312" w:cs="仿宋_GB2312"/>
          <w:sz w:val="32"/>
          <w:szCs w:val="32"/>
          <w:lang w:val="en-US" w:eastAsia="zh-CN"/>
        </w:rPr>
        <w:t>涉及居民生活质量，为保证居民正常生活,列</w:t>
      </w:r>
      <w:r>
        <w:rPr>
          <w:rFonts w:hint="eastAsia" w:ascii="仿宋_GB2312" w:hAnsi="仿宋_GB2312" w:eastAsia="仿宋_GB2312" w:cs="仿宋_GB2312"/>
          <w:sz w:val="32"/>
          <w:szCs w:val="32"/>
        </w:rPr>
        <w:t>入Ⅰ级有序用电措施安排。</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rPr>
      </w:pPr>
      <w:r>
        <w:rPr>
          <w:rFonts w:hint="eastAsia" w:ascii="仿宋_GB2312" w:hAnsi="仿宋" w:eastAsia="仿宋_GB2312" w:cs="Times New Roman"/>
          <w:color w:val="000000"/>
          <w:sz w:val="32"/>
          <w:szCs w:val="32"/>
        </w:rPr>
        <w:t>参与有序用电客户均是按照有序用电编制原则筛选的，</w:t>
      </w:r>
      <w:r>
        <w:rPr>
          <w:rFonts w:hint="eastAsia" w:ascii="仿宋_GB2312" w:hAnsi="仿宋" w:eastAsia="仿宋_GB2312" w:cs="Times New Roman"/>
          <w:sz w:val="32"/>
          <w:szCs w:val="32"/>
        </w:rPr>
        <w:t>总户数为</w:t>
      </w:r>
      <w:r>
        <w:rPr>
          <w:rFonts w:ascii="仿宋_GB2312" w:hAnsi="仿宋" w:eastAsia="仿宋_GB2312" w:cs="Times New Roman"/>
          <w:sz w:val="32"/>
          <w:szCs w:val="32"/>
        </w:rPr>
        <w:t>37</w:t>
      </w:r>
      <w:r>
        <w:rPr>
          <w:rFonts w:hint="eastAsia" w:ascii="仿宋_GB2312" w:hAnsi="仿宋" w:eastAsia="仿宋_GB2312" w:cs="Times New Roman"/>
          <w:sz w:val="32"/>
          <w:szCs w:val="32"/>
          <w:lang w:val="en-US" w:eastAsia="zh-CN"/>
        </w:rPr>
        <w:t>17</w:t>
      </w:r>
      <w:r>
        <w:rPr>
          <w:rFonts w:hint="eastAsia" w:ascii="仿宋_GB2312" w:hAnsi="仿宋" w:eastAsia="仿宋_GB2312" w:cs="Times New Roman"/>
          <w:sz w:val="32"/>
          <w:szCs w:val="32"/>
        </w:rPr>
        <w:t>户，供电总容量为</w:t>
      </w:r>
      <w:r>
        <w:rPr>
          <w:rFonts w:ascii="仿宋_GB2312" w:hAnsi="仿宋" w:eastAsia="仿宋_GB2312" w:cs="Times New Roman"/>
          <w:sz w:val="32"/>
          <w:szCs w:val="32"/>
        </w:rPr>
        <w:t>109</w:t>
      </w:r>
      <w:r>
        <w:rPr>
          <w:rFonts w:hint="eastAsia" w:ascii="仿宋_GB2312" w:hAnsi="仿宋" w:eastAsia="仿宋_GB2312" w:cs="Times New Roman"/>
          <w:sz w:val="32"/>
          <w:szCs w:val="32"/>
          <w:lang w:val="en-US" w:eastAsia="zh-CN"/>
        </w:rPr>
        <w:t>1</w:t>
      </w:r>
      <w:r>
        <w:rPr>
          <w:rFonts w:ascii="仿宋_GB2312" w:hAnsi="仿宋" w:eastAsia="仿宋_GB2312" w:cs="Times New Roman"/>
          <w:sz w:val="32"/>
          <w:szCs w:val="32"/>
        </w:rPr>
        <w:t>.</w:t>
      </w:r>
      <w:r>
        <w:rPr>
          <w:rFonts w:hint="eastAsia" w:ascii="仿宋_GB2312" w:hAnsi="仿宋" w:eastAsia="仿宋_GB2312" w:cs="Times New Roman"/>
          <w:sz w:val="32"/>
          <w:szCs w:val="32"/>
          <w:lang w:val="en-US" w:eastAsia="zh-CN"/>
        </w:rPr>
        <w:t>56</w:t>
      </w:r>
      <w:r>
        <w:rPr>
          <w:rFonts w:hint="eastAsia" w:ascii="仿宋_GB2312" w:hAnsi="仿宋" w:eastAsia="仿宋_GB2312" w:cs="Times New Roman"/>
          <w:sz w:val="32"/>
          <w:szCs w:val="32"/>
        </w:rPr>
        <w:t>万千伏安。</w:t>
      </w:r>
    </w:p>
    <w:p>
      <w:pPr>
        <w:spacing w:line="55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（二）执行方式</w:t>
      </w:r>
    </w:p>
    <w:p>
      <w:pPr>
        <w:spacing w:line="558"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有序用电工作按照以下原则实施：需求响应优先、有序用电保底、节约用电助力；双高全限、自动提级、轮转实施、比例压降。</w:t>
      </w:r>
    </w:p>
    <w:p>
      <w:pPr>
        <w:spacing w:line="558" w:lineRule="exact"/>
        <w:ind w:firstLine="63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需求响应优先</w:t>
      </w:r>
    </w:p>
    <w:p>
      <w:pPr>
        <w:spacing w:line="558"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1</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对于参与电力需求响应并执行到位的企业，在接下来的有序用电中排序靠后；</w:t>
      </w:r>
    </w:p>
    <w:p>
      <w:pPr>
        <w:spacing w:line="558"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2</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未参与电力需求响应的企业按原排序执行有序用电；</w:t>
      </w:r>
    </w:p>
    <w:p>
      <w:pPr>
        <w:spacing w:line="558" w:lineRule="exact"/>
        <w:ind w:firstLine="630"/>
        <w:rPr>
          <w:rFonts w:ascii="仿宋_GB2312" w:hAnsi="仿宋_GB2312" w:eastAsia="仿宋_GB2312" w:cs="仿宋_GB2312"/>
          <w:sz w:val="32"/>
          <w:szCs w:val="32"/>
        </w:rPr>
      </w:pP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lang w:val="en-US" w:eastAsia="zh-CN"/>
        </w:rPr>
        <w:t>3</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参与</w:t>
      </w:r>
      <w:bookmarkStart w:id="0" w:name="_GoBack"/>
      <w:bookmarkEnd w:id="0"/>
      <w:r>
        <w:rPr>
          <w:rFonts w:hint="eastAsia" w:ascii="仿宋_GB2312" w:hAnsi="方正仿宋_GBK" w:eastAsia="仿宋_GB2312" w:cs="方正仿宋_GBK"/>
          <w:sz w:val="32"/>
          <w:szCs w:val="32"/>
        </w:rPr>
        <w:t>电力需求响应的企业，如果当日电力需求响应执行</w:t>
      </w:r>
      <w:r>
        <w:rPr>
          <w:rFonts w:hint="eastAsia" w:ascii="仿宋_GB2312" w:hAnsi="方正仿宋_GBK" w:eastAsia="仿宋_GB2312" w:cs="方正仿宋_GBK"/>
          <w:sz w:val="32"/>
          <w:szCs w:val="32"/>
          <w:lang w:val="en-US" w:eastAsia="zh-CN"/>
        </w:rPr>
        <w:t>未达到补贴标准</w:t>
      </w:r>
      <w:r>
        <w:rPr>
          <w:rFonts w:hint="eastAsia" w:ascii="仿宋_GB2312" w:hAnsi="方正仿宋_GBK" w:eastAsia="仿宋_GB2312" w:cs="方正仿宋_GBK"/>
          <w:sz w:val="32"/>
          <w:szCs w:val="32"/>
        </w:rPr>
        <w:t>或是不执行，在接下来的有序用电中靠前执行。</w:t>
      </w:r>
    </w:p>
    <w:p>
      <w:pPr>
        <w:spacing w:line="558" w:lineRule="exact"/>
        <w:ind w:firstLine="63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有序用电保底</w:t>
      </w:r>
    </w:p>
    <w:p>
      <w:pPr>
        <w:spacing w:line="558"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自动提级：如本级内启动所有企业仍未</w:t>
      </w:r>
      <w:r>
        <w:rPr>
          <w:rFonts w:hint="eastAsia" w:ascii="仿宋_GB2312" w:hAnsi="仿宋_GB2312" w:eastAsia="仿宋_GB2312" w:cs="仿宋_GB2312"/>
          <w:sz w:val="32"/>
          <w:szCs w:val="32"/>
          <w:lang w:val="en-US" w:eastAsia="zh-CN"/>
        </w:rPr>
        <w:t>满足</w:t>
      </w:r>
      <w:r>
        <w:rPr>
          <w:rFonts w:hint="eastAsia" w:ascii="仿宋_GB2312" w:hAnsi="仿宋_GB2312" w:eastAsia="仿宋_GB2312" w:cs="仿宋_GB2312"/>
          <w:sz w:val="32"/>
          <w:szCs w:val="32"/>
        </w:rPr>
        <w:t>，自动启动下一级别有序用电措施。</w:t>
      </w:r>
    </w:p>
    <w:p>
      <w:pPr>
        <w:spacing w:line="558"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双高全限：安排“两高”企业用户执行有序用电措施时，仅保留保安负荷和承担居民供暖、供气等民生工程负荷。</w:t>
      </w:r>
    </w:p>
    <w:p>
      <w:pPr>
        <w:spacing w:line="558"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轮转实施：在指标小于42万千瓦时，Ⅳ级、Ⅲ级内用户（鞍钢除外）按供电区域依次排序执行、限满为止、轮转实施、确保所有企业轮完后启动下一次轮转循环。当缺口大于42万千瓦时所有用户全部执行有序用电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轮停方案执行：结合鞍山地区用电特点，在22:00-6:00长期执行有序用电时，采用电熔镁用户轮停方式进行</w:t>
      </w:r>
      <w:r>
        <w:rPr>
          <w:rFonts w:hint="eastAsia" w:ascii="仿宋_GB2312" w:hAnsi="仿宋_GB2312" w:eastAsia="仿宋_GB2312" w:cs="仿宋_GB2312"/>
          <w:sz w:val="32"/>
          <w:szCs w:val="32"/>
          <w:lang w:val="en-US" w:eastAsia="zh-CN"/>
        </w:rPr>
        <w:t>,所有电熔镁企业电熔镁窑炉全部停止生产</w:t>
      </w:r>
      <w:r>
        <w:rPr>
          <w:rFonts w:hint="eastAsia" w:ascii="仿宋_GB2312" w:hAnsi="仿宋_GB2312" w:eastAsia="仿宋_GB2312" w:cs="仿宋_GB2312"/>
          <w:sz w:val="32"/>
          <w:szCs w:val="32"/>
        </w:rPr>
        <w:t>。针对各个级别的轮停方案，将电熔镁企业进行分组，分别为A组、B组、C组、D组、E组、F组，以第一级方案为例，确保在任意时刻，每组用户轮停负荷均达到第一级轮停负荷要求。若启动二级轮停，第一天A组+B组开展限电，第二天C组+D组进行限电，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天E组+F组进行限电，第四天A组+B组进行限电......以此类推进行循环；若启动三级及以上轮停，第一天A组+B组+C组进行限电，第二天D组+E组+F组进行限电，第三天A组+B组+C组进行限电......以此类推进行循环;若启动四级及以上轮停，第一天A组+B组+C组+D组进行限电，第二天B组+C组+D组+E组进行限电，第三天C组+D组+E组+F组进行限电......以此类推进行循环；若启动五级及以上轮停，第一天A组+B组+C组+D组+E组进行限电，第二天B组+C组+D组+E组+F组进行限电，第三天C组+D组+E组+F组+A组进行限电......以此类推进行循环；若启动六级及以上轮停，直接A组+B组+C组+D组+E组+F组进行限电。预计每级可限制25万千瓦，全部限制可达150万千瓦。</w:t>
      </w:r>
    </w:p>
    <w:p>
      <w:pPr>
        <w:spacing w:line="558" w:lineRule="exact"/>
        <w:ind w:firstLine="63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节约用电助力:</w:t>
      </w:r>
    </w:p>
    <w:p>
      <w:pPr>
        <w:spacing w:line="558" w:lineRule="exact"/>
        <w:ind w:firstLine="63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全市开展节约用电宣传，倡议全市企事业单位居民节约用电，树立全面节约用电意识，推广节能项目。</w:t>
      </w:r>
    </w:p>
    <w:p>
      <w:pPr>
        <w:spacing w:line="558"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避免长明灯，及时关闭不用电的设备（如空调、电脑等），促请政府压缩室外亮化工程时间，倡导居民错峰用电避开高峰时段。</w:t>
      </w:r>
    </w:p>
    <w:p>
      <w:pPr>
        <w:pStyle w:val="6"/>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rPr>
      </w:pPr>
      <w:r>
        <w:rPr>
          <w:rFonts w:hint="eastAsia" w:ascii="仿宋_GB2312" w:hAnsi="仿宋" w:eastAsia="仿宋_GB2312"/>
          <w:b/>
          <w:sz w:val="32"/>
          <w:szCs w:val="32"/>
        </w:rPr>
        <w:t>（三）执行流程</w:t>
      </w:r>
    </w:p>
    <w:p>
      <w:pPr>
        <w:pStyle w:val="6"/>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rPr>
      </w:pPr>
      <w:r>
        <w:rPr>
          <w:rFonts w:hint="eastAsia" w:ascii="仿宋_GB2312" w:hAnsi="仿宋" w:eastAsia="仿宋_GB2312"/>
          <w:b/>
          <w:sz w:val="32"/>
          <w:szCs w:val="32"/>
          <w:lang w:val="en-US" w:eastAsia="zh-CN"/>
        </w:rPr>
        <w:t>1.</w:t>
      </w:r>
      <w:r>
        <w:rPr>
          <w:rFonts w:hint="eastAsia" w:ascii="仿宋_GB2312" w:hAnsi="仿宋" w:eastAsia="仿宋_GB2312"/>
          <w:b/>
          <w:sz w:val="32"/>
          <w:szCs w:val="32"/>
        </w:rPr>
        <w:t>方案启动</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市工业和信息化局根据电力供需情况，及时启动有序用电方案，并报告鞍山市人民政府。</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供电公司及时向市工业和信息化局提出启动有序用电方案建议，并配合市工信局发布有序用电启动公告。</w:t>
      </w:r>
    </w:p>
    <w:p>
      <w:pPr>
        <w:pStyle w:val="6"/>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方案执行</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在保证有序用电方案整体执行效果的前提下，供电公司应优化有序用电措施。在电力缺口缩小时，及时有序释放用电负荷，尽量满足用户合理需求，减少限电损失。</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在对用户实施、变更、取消有序用电措施前，应提前履行告知义务，并保留工作痕迹。</w:t>
      </w:r>
    </w:p>
    <w:p>
      <w:pPr>
        <w:pStyle w:val="6"/>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rPr>
      </w:pPr>
      <w:r>
        <w:rPr>
          <w:rFonts w:hint="eastAsia" w:ascii="仿宋_GB2312" w:hAnsi="仿宋" w:eastAsia="仿宋_GB2312"/>
          <w:b/>
          <w:sz w:val="32"/>
          <w:szCs w:val="32"/>
          <w:lang w:val="en-US" w:eastAsia="zh-CN"/>
        </w:rPr>
        <w:t>3.</w:t>
      </w:r>
      <w:r>
        <w:rPr>
          <w:rFonts w:hint="eastAsia" w:ascii="仿宋_GB2312" w:hAnsi="仿宋" w:eastAsia="仿宋_GB2312"/>
          <w:b/>
          <w:sz w:val="32"/>
          <w:szCs w:val="32"/>
        </w:rPr>
        <w:t>统计上报</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有序用电方案实施期间，供电公司应开展有序用电影响负荷、用电量等相关统计工作，并及时报市工业和信息化局。</w:t>
      </w:r>
    </w:p>
    <w:p>
      <w:pPr>
        <w:pStyle w:val="6"/>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rPr>
      </w:pPr>
      <w:r>
        <w:rPr>
          <w:rFonts w:hint="eastAsia" w:ascii="仿宋_GB2312" w:hAnsi="仿宋" w:eastAsia="仿宋_GB2312"/>
          <w:b/>
          <w:sz w:val="32"/>
          <w:szCs w:val="32"/>
          <w:lang w:val="en-US" w:eastAsia="zh-CN"/>
        </w:rPr>
        <w:t>4.</w:t>
      </w:r>
      <w:r>
        <w:rPr>
          <w:rFonts w:hint="eastAsia" w:ascii="仿宋_GB2312" w:hAnsi="仿宋" w:eastAsia="仿宋_GB2312"/>
          <w:b/>
          <w:sz w:val="32"/>
          <w:szCs w:val="32"/>
        </w:rPr>
        <w:t>应急处理</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rPr>
      </w:pPr>
      <w:r>
        <w:rPr>
          <w:rFonts w:hint="eastAsia" w:ascii="仿宋_GB2312" w:hAnsi="仿宋" w:eastAsia="仿宋_GB2312" w:cs="Times New Roman"/>
          <w:sz w:val="32"/>
          <w:szCs w:val="32"/>
        </w:rPr>
        <w:t>在紧急状态下，供电公司应执行拉闸限电顺位表、处置电网大面积停电事件应急预案等。</w:t>
      </w:r>
    </w:p>
    <w:p>
      <w:pPr>
        <w:pStyle w:val="6"/>
        <w:widowControl w:val="0"/>
        <w:adjustRightInd w:val="0"/>
        <w:spacing w:before="0" w:beforeAutospacing="0" w:after="0" w:afterAutospacing="0" w:line="580" w:lineRule="exact"/>
        <w:ind w:firstLine="643" w:firstLineChars="200"/>
        <w:jc w:val="both"/>
        <w:rPr>
          <w:rFonts w:ascii="仿宋_GB2312" w:hAnsi="仿宋" w:eastAsia="仿宋_GB2312"/>
          <w:b/>
          <w:sz w:val="32"/>
          <w:szCs w:val="32"/>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工作职责</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市工业和信息化局会同市供电公司共同编制有序用电方案，征求各县（市）区政府及重点企业意见后报市政府审定，经市政府同意后，上报省工业和信息化厅。</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各县（市）区政府会同各供电分公司负责做好本辖区有序用电方案编制工作，重点企业要“一企一策”做好落实，负责监督管理本地企业执行效果。</w:t>
      </w:r>
    </w:p>
    <w:p>
      <w:pPr>
        <w:pStyle w:val="6"/>
        <w:widowControl w:val="0"/>
        <w:adjustRightInd w:val="0"/>
        <w:spacing w:before="0" w:beforeAutospacing="0" w:after="0" w:afterAutospacing="0" w:line="580" w:lineRule="exact"/>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rPr>
        <w:t>五、工作要求</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rPr>
      </w:pPr>
      <w:r>
        <w:rPr>
          <w:rFonts w:hint="eastAsia" w:ascii="仿宋_GB2312" w:hAnsi="仿宋" w:eastAsia="仿宋_GB2312" w:cs="Times New Roman"/>
          <w:sz w:val="32"/>
          <w:szCs w:val="32"/>
        </w:rPr>
        <w:t>1.鞍山市工业和信息化局负责全地区的有序用电管理工作，办公室设在电力科。市政府其他有关部门在各自职责范围内负责相关工作。</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rPr>
      </w:pPr>
      <w:r>
        <w:rPr>
          <w:rFonts w:hint="eastAsia" w:ascii="仿宋_GB2312" w:hAnsi="仿宋" w:eastAsia="仿宋_GB2312" w:cs="Times New Roman"/>
          <w:sz w:val="32"/>
          <w:szCs w:val="32"/>
        </w:rPr>
        <w:t>2.国网鞍山供电公司是有序用电工作的重要实施主体，办公室设在营销部（农电工作部）。负责按照上级主管部门的要求实施有序用电相关工作。应依据有序用电方案，结合实际电力供应能力和用电负荷情况，合理做好日用电平衡工作。</w:t>
      </w:r>
    </w:p>
    <w:p>
      <w:pPr>
        <w:pStyle w:val="6"/>
        <w:widowControl w:val="0"/>
        <w:adjustRightInd w:val="0"/>
        <w:spacing w:before="0" w:beforeAutospacing="0" w:after="0" w:afterAutospacing="0" w:line="580" w:lineRule="exact"/>
        <w:ind w:firstLine="640" w:firstLineChars="2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3.有序用电方案涉及的电力用户应支持配合实施有序用电工作。按照文件要求严格执行。对执行方案不力、擅自超限用电的电力用户要责令改正，情节严重的，可按照国家规定程序停止供电。</w:t>
      </w:r>
      <w:r>
        <w:rPr>
          <w:rFonts w:hint="eastAsia" w:ascii="仿宋_GB2312" w:hAnsi="仿宋" w:eastAsia="仿宋_GB2312" w:cs="Times New Roman"/>
          <w:sz w:val="32"/>
          <w:szCs w:val="32"/>
          <w:lang w:val="en-US" w:eastAsia="zh-CN"/>
        </w:rPr>
        <w:t>重要用户应按照国家有关规定配置应急保安电源。</w:t>
      </w:r>
      <w:r>
        <w:rPr>
          <w:rFonts w:hint="eastAsia" w:ascii="仿宋_GB2312" w:hAnsi="仿宋" w:eastAsia="仿宋_GB2312" w:cs="Times New Roman"/>
          <w:sz w:val="32"/>
          <w:szCs w:val="32"/>
        </w:rPr>
        <w:t>对组织有序用电不到位的各县（市）区政府、开发区管委会及重点企业，市工信局和国网鞍山供电公司将向纪检监察部门进行通报。</w:t>
      </w:r>
    </w:p>
    <w:p>
      <w:pPr>
        <w:pStyle w:val="6"/>
        <w:widowControl w:val="0"/>
        <w:adjustRightInd w:val="0"/>
        <w:spacing w:before="0" w:beforeAutospacing="0" w:after="0" w:afterAutospacing="0" w:line="580" w:lineRule="exact"/>
        <w:ind w:firstLine="640" w:firstLineChars="200"/>
        <w:jc w:val="both"/>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4.对符合有序用电执行原则的新装或恢复用电以及用电变更的电力用户，要及时纳入有序用电方案。</w:t>
      </w:r>
    </w:p>
    <w:p>
      <w:pPr>
        <w:pStyle w:val="6"/>
        <w:widowControl w:val="0"/>
        <w:adjustRightInd w:val="0"/>
        <w:spacing w:before="0" w:beforeAutospacing="0" w:after="0" w:afterAutospacing="0" w:line="580" w:lineRule="exact"/>
        <w:ind w:firstLine="640" w:firstLineChars="200"/>
        <w:jc w:val="both"/>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5.有序用电实施期间，电网企业应开展有序用电影响用电负荷、用电量等相关统计工作，并及时报市工业和信息化局。</w:t>
      </w:r>
    </w:p>
    <w:p>
      <w:pPr>
        <w:pStyle w:val="6"/>
        <w:widowControl w:val="0"/>
        <w:adjustRightInd w:val="0"/>
        <w:spacing w:before="0" w:beforeAutospacing="0" w:after="0" w:afterAutospacing="0" w:line="58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六、 附则</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rPr>
      </w:pPr>
      <w:r>
        <w:rPr>
          <w:rFonts w:hint="eastAsia" w:ascii="仿宋_GB2312" w:hAnsi="仿宋" w:eastAsia="仿宋_GB2312" w:cs="Times New Roman"/>
          <w:sz w:val="32"/>
          <w:szCs w:val="32"/>
        </w:rPr>
        <w:t>本方案实施后，原有序用电方案不再执行，在新的有序用电方案出台之前，延续执行本方案。</w:t>
      </w:r>
    </w:p>
    <w:p>
      <w:pPr>
        <w:spacing w:line="558" w:lineRule="exact"/>
        <w:rPr>
          <w:rFonts w:hint="eastAsia" w:ascii="仿宋_GB2312" w:hAnsi="仿宋" w:eastAsia="仿宋_GB2312"/>
          <w:kern w:val="0"/>
          <w:sz w:val="32"/>
          <w:szCs w:val="32"/>
        </w:rPr>
      </w:pPr>
    </w:p>
    <w:p>
      <w:pPr>
        <w:spacing w:line="558"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附</w:t>
      </w:r>
      <w:r>
        <w:rPr>
          <w:rFonts w:hint="eastAsia" w:ascii="仿宋_GB2312" w:hAnsi="仿宋" w:eastAsia="仿宋_GB2312"/>
          <w:kern w:val="0"/>
          <w:sz w:val="32"/>
          <w:szCs w:val="32"/>
          <w:lang w:eastAsia="zh-CN"/>
        </w:rPr>
        <w:t>表</w:t>
      </w:r>
      <w:r>
        <w:rPr>
          <w:rFonts w:hint="eastAsia" w:ascii="仿宋_GB2312" w:hAnsi="仿宋" w:eastAsia="仿宋_GB2312"/>
          <w:kern w:val="0"/>
          <w:sz w:val="32"/>
          <w:szCs w:val="32"/>
        </w:rPr>
        <w:t>一：鞍山</w:t>
      </w:r>
      <w:r>
        <w:rPr>
          <w:rFonts w:hint="eastAsia" w:ascii="仿宋_GB2312" w:hAnsi="仿宋" w:eastAsia="仿宋_GB2312"/>
          <w:kern w:val="0"/>
          <w:sz w:val="32"/>
          <w:szCs w:val="32"/>
          <w:lang w:eastAsia="zh-CN"/>
        </w:rPr>
        <w:t>地区</w:t>
      </w:r>
      <w:r>
        <w:rPr>
          <w:rFonts w:hint="eastAsia" w:ascii="仿宋_GB2312" w:hAnsi="仿宋" w:eastAsia="仿宋_GB2312"/>
          <w:kern w:val="0"/>
          <w:sz w:val="32"/>
          <w:szCs w:val="32"/>
        </w:rPr>
        <w:t>2022年有序用电负荷调控措施安排表</w:t>
      </w:r>
    </w:p>
    <w:p>
      <w:pPr>
        <w:pStyle w:val="6"/>
        <w:widowControl w:val="0"/>
        <w:adjustRightInd w:val="0"/>
        <w:spacing w:before="0" w:beforeAutospacing="0" w:after="0" w:afterAutospacing="0" w:line="580" w:lineRule="exact"/>
        <w:ind w:firstLine="640" w:firstLineChars="200"/>
        <w:jc w:val="both"/>
        <w:rPr>
          <w:rFonts w:ascii="仿宋_GB2312" w:hAnsi="仿宋" w:eastAsia="仿宋_GB2312" w:cs="Times New Roman"/>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 w:eastAsia="仿宋_GB2312" w:cs="Times New Roman"/>
          <w:sz w:val="32"/>
          <w:szCs w:val="32"/>
        </w:rPr>
        <w:t>附</w:t>
      </w:r>
      <w:r>
        <w:rPr>
          <w:rFonts w:hint="eastAsia" w:ascii="仿宋_GB2312" w:hAnsi="仿宋" w:eastAsia="仿宋_GB2312" w:cs="Times New Roman"/>
          <w:sz w:val="32"/>
          <w:szCs w:val="32"/>
          <w:lang w:eastAsia="zh-CN"/>
        </w:rPr>
        <w:t>表</w:t>
      </w:r>
      <w:r>
        <w:rPr>
          <w:rFonts w:hint="eastAsia" w:ascii="仿宋_GB2312" w:hAnsi="仿宋" w:eastAsia="仿宋_GB2312" w:cs="Times New Roman"/>
          <w:sz w:val="32"/>
          <w:szCs w:val="32"/>
        </w:rPr>
        <w:t>二：电熔镁企业轮停分组表</w:t>
      </w:r>
    </w:p>
    <w:p>
      <w:pPr>
        <w:pStyle w:val="6"/>
        <w:widowControl w:val="0"/>
        <w:adjustRightInd w:val="0"/>
        <w:spacing w:before="0" w:beforeAutospacing="0" w:after="0" w:afterAutospacing="0" w:line="620" w:lineRule="exact"/>
        <w:ind w:firstLine="640" w:firstLineChars="200"/>
        <w:jc w:val="both"/>
        <w:rPr>
          <w:rFonts w:ascii="仿宋_GB2312" w:hAnsi="仿宋" w:eastAsia="仿宋_GB2312" w:cs="Times New Roman"/>
          <w:sz w:val="32"/>
          <w:szCs w:val="32"/>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09393"/>
      <w:docPartObj>
        <w:docPartGallery w:val="autotext"/>
      </w:docPartObj>
    </w:sdtPr>
    <w:sdtContent>
      <w:p>
        <w:pPr>
          <w:pStyle w:val="4"/>
          <w:jc w:val="cente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NTU4NTU1OTI0MjUwNjVhZDFmMTllNTE1MWJlMWQifQ=="/>
  </w:docVars>
  <w:rsids>
    <w:rsidRoot w:val="008A016B"/>
    <w:rsid w:val="00012F78"/>
    <w:rsid w:val="00076C9D"/>
    <w:rsid w:val="000934CD"/>
    <w:rsid w:val="000E0829"/>
    <w:rsid w:val="00105792"/>
    <w:rsid w:val="00107042"/>
    <w:rsid w:val="00125D6E"/>
    <w:rsid w:val="0015340B"/>
    <w:rsid w:val="00183DD0"/>
    <w:rsid w:val="00207308"/>
    <w:rsid w:val="00212C99"/>
    <w:rsid w:val="0027356E"/>
    <w:rsid w:val="00282387"/>
    <w:rsid w:val="00283016"/>
    <w:rsid w:val="002911E2"/>
    <w:rsid w:val="002D24A5"/>
    <w:rsid w:val="002D7433"/>
    <w:rsid w:val="002F75B5"/>
    <w:rsid w:val="00306B40"/>
    <w:rsid w:val="00347329"/>
    <w:rsid w:val="0037340B"/>
    <w:rsid w:val="0037369D"/>
    <w:rsid w:val="003736BE"/>
    <w:rsid w:val="00380FF2"/>
    <w:rsid w:val="003B1AD3"/>
    <w:rsid w:val="003B3209"/>
    <w:rsid w:val="003D1CA2"/>
    <w:rsid w:val="003E24D9"/>
    <w:rsid w:val="003F2D73"/>
    <w:rsid w:val="00427082"/>
    <w:rsid w:val="004504DE"/>
    <w:rsid w:val="004557E0"/>
    <w:rsid w:val="004D65D0"/>
    <w:rsid w:val="004D7E38"/>
    <w:rsid w:val="005017B1"/>
    <w:rsid w:val="005127EC"/>
    <w:rsid w:val="00520A09"/>
    <w:rsid w:val="005636D9"/>
    <w:rsid w:val="005A353D"/>
    <w:rsid w:val="005B7EF0"/>
    <w:rsid w:val="005C58A3"/>
    <w:rsid w:val="005D3732"/>
    <w:rsid w:val="005F70A2"/>
    <w:rsid w:val="00611513"/>
    <w:rsid w:val="00644370"/>
    <w:rsid w:val="0065763C"/>
    <w:rsid w:val="006931F1"/>
    <w:rsid w:val="006C1EC9"/>
    <w:rsid w:val="006E2584"/>
    <w:rsid w:val="00741FB5"/>
    <w:rsid w:val="0075736B"/>
    <w:rsid w:val="00761132"/>
    <w:rsid w:val="00776892"/>
    <w:rsid w:val="00780B7A"/>
    <w:rsid w:val="00797B44"/>
    <w:rsid w:val="007A0DCC"/>
    <w:rsid w:val="0081179E"/>
    <w:rsid w:val="0085282E"/>
    <w:rsid w:val="00877527"/>
    <w:rsid w:val="008A016B"/>
    <w:rsid w:val="008A63ED"/>
    <w:rsid w:val="008C240E"/>
    <w:rsid w:val="008D619C"/>
    <w:rsid w:val="00906094"/>
    <w:rsid w:val="0092042E"/>
    <w:rsid w:val="00926CBB"/>
    <w:rsid w:val="00963C7C"/>
    <w:rsid w:val="00965F62"/>
    <w:rsid w:val="00977CBF"/>
    <w:rsid w:val="00987C7A"/>
    <w:rsid w:val="00987E6C"/>
    <w:rsid w:val="00992DB1"/>
    <w:rsid w:val="009D63A9"/>
    <w:rsid w:val="00A05562"/>
    <w:rsid w:val="00A301D8"/>
    <w:rsid w:val="00A33977"/>
    <w:rsid w:val="00A5401D"/>
    <w:rsid w:val="00A656E0"/>
    <w:rsid w:val="00A9059F"/>
    <w:rsid w:val="00A949FD"/>
    <w:rsid w:val="00AA1B14"/>
    <w:rsid w:val="00AA3078"/>
    <w:rsid w:val="00AA41A6"/>
    <w:rsid w:val="00AC067A"/>
    <w:rsid w:val="00AF0CC7"/>
    <w:rsid w:val="00AF455A"/>
    <w:rsid w:val="00B205E6"/>
    <w:rsid w:val="00B41B7C"/>
    <w:rsid w:val="00B41ECA"/>
    <w:rsid w:val="00B50C72"/>
    <w:rsid w:val="00BA218C"/>
    <w:rsid w:val="00BB0995"/>
    <w:rsid w:val="00BC48F7"/>
    <w:rsid w:val="00BD153F"/>
    <w:rsid w:val="00BD2A29"/>
    <w:rsid w:val="00BE270E"/>
    <w:rsid w:val="00BE4224"/>
    <w:rsid w:val="00C065E9"/>
    <w:rsid w:val="00C24688"/>
    <w:rsid w:val="00C661A4"/>
    <w:rsid w:val="00C844E7"/>
    <w:rsid w:val="00C869C0"/>
    <w:rsid w:val="00C94CEA"/>
    <w:rsid w:val="00CA0BE9"/>
    <w:rsid w:val="00CC69AA"/>
    <w:rsid w:val="00CD01D6"/>
    <w:rsid w:val="00CF5A6B"/>
    <w:rsid w:val="00D3776A"/>
    <w:rsid w:val="00D63366"/>
    <w:rsid w:val="00D93071"/>
    <w:rsid w:val="00D9409E"/>
    <w:rsid w:val="00D9581D"/>
    <w:rsid w:val="00DD25F1"/>
    <w:rsid w:val="00DE394E"/>
    <w:rsid w:val="00E84606"/>
    <w:rsid w:val="00EE324B"/>
    <w:rsid w:val="00EE564F"/>
    <w:rsid w:val="00EF08C6"/>
    <w:rsid w:val="00F24D78"/>
    <w:rsid w:val="00F3339A"/>
    <w:rsid w:val="00F3607E"/>
    <w:rsid w:val="00F438FE"/>
    <w:rsid w:val="00F45115"/>
    <w:rsid w:val="00F92378"/>
    <w:rsid w:val="00FB09FD"/>
    <w:rsid w:val="00FE1161"/>
    <w:rsid w:val="00FE489C"/>
    <w:rsid w:val="0398193D"/>
    <w:rsid w:val="07D41FDE"/>
    <w:rsid w:val="085B1EE7"/>
    <w:rsid w:val="0F255139"/>
    <w:rsid w:val="12AC6E4F"/>
    <w:rsid w:val="1A981560"/>
    <w:rsid w:val="1D164C5A"/>
    <w:rsid w:val="217B271C"/>
    <w:rsid w:val="26C95117"/>
    <w:rsid w:val="2830783F"/>
    <w:rsid w:val="341B3E55"/>
    <w:rsid w:val="342A7047"/>
    <w:rsid w:val="39236F6C"/>
    <w:rsid w:val="47AF0B50"/>
    <w:rsid w:val="4F90291E"/>
    <w:rsid w:val="52CE5160"/>
    <w:rsid w:val="5580471F"/>
    <w:rsid w:val="5C953E7B"/>
    <w:rsid w:val="601D62AE"/>
    <w:rsid w:val="624C6FEC"/>
    <w:rsid w:val="63CC7A93"/>
    <w:rsid w:val="65B17782"/>
    <w:rsid w:val="6C97202E"/>
    <w:rsid w:val="6D4911CD"/>
    <w:rsid w:val="721C6C2A"/>
    <w:rsid w:val="7BA743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10"/>
    <w:qFormat/>
    <w:uiPriority w:val="0"/>
    <w:pPr>
      <w:keepNext/>
      <w:keepLines/>
      <w:spacing w:before="340" w:after="330" w:line="576" w:lineRule="auto"/>
      <w:outlineLvl w:val="0"/>
    </w:pPr>
    <w:rPr>
      <w:rFonts w:ascii="Times New Roman" w:hAnsi="Times New Roman"/>
      <w:b/>
      <w:kern w:val="44"/>
      <w:sz w:val="44"/>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2"/>
    <w:qFormat/>
    <w:uiPriority w:val="99"/>
    <w:rPr>
      <w:rFonts w:ascii="宋体" w:hAnsi="Courier New" w:eastAsia="隶书"/>
      <w:kern w:val="0"/>
      <w:sz w:val="32"/>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qFormat/>
    <w:uiPriority w:val="99"/>
    <w:rPr>
      <w:color w:val="000000"/>
      <w:u w:val="none"/>
    </w:rPr>
  </w:style>
  <w:style w:type="character" w:customStyle="1" w:styleId="10">
    <w:name w:val="标题 1 字符"/>
    <w:basedOn w:val="7"/>
    <w:link w:val="2"/>
    <w:qFormat/>
    <w:uiPriority w:val="0"/>
    <w:rPr>
      <w:rFonts w:ascii="Times New Roman" w:hAnsi="Times New Roman" w:eastAsia="宋体" w:cs="Times New Roman"/>
      <w:b/>
      <w:kern w:val="44"/>
      <w:sz w:val="44"/>
      <w:szCs w:val="20"/>
    </w:rPr>
  </w:style>
  <w:style w:type="character" w:customStyle="1" w:styleId="11">
    <w:name w:val="页眉 字符"/>
    <w:basedOn w:val="7"/>
    <w:link w:val="5"/>
    <w:semiHidden/>
    <w:qFormat/>
    <w:uiPriority w:val="99"/>
    <w:rPr>
      <w:rFonts w:ascii="Calibri" w:hAnsi="Calibri" w:eastAsia="宋体" w:cs="Times New Roman"/>
      <w:kern w:val="2"/>
      <w:sz w:val="18"/>
      <w:szCs w:val="18"/>
    </w:rPr>
  </w:style>
  <w:style w:type="character" w:customStyle="1" w:styleId="12">
    <w:name w:val="纯文本 字符"/>
    <w:basedOn w:val="7"/>
    <w:link w:val="3"/>
    <w:qFormat/>
    <w:uiPriority w:val="99"/>
    <w:rPr>
      <w:rFonts w:ascii="宋体" w:hAnsi="Courier New" w:eastAsia="隶书" w:cs="Times New Roman"/>
      <w:sz w:val="32"/>
    </w:rPr>
  </w:style>
  <w:style w:type="character" w:customStyle="1" w:styleId="13">
    <w:name w:val="页脚 字符"/>
    <w:basedOn w:val="7"/>
    <w:link w:val="4"/>
    <w:qFormat/>
    <w:uiPriority w:val="99"/>
    <w:rPr>
      <w:rFonts w:ascii="Calibri" w:hAnsi="Calibri" w:eastAsia="宋体" w:cs="Times New Roman"/>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8102</Words>
  <Characters>9700</Characters>
  <Lines>73</Lines>
  <Paragraphs>20</Paragraphs>
  <TotalTime>81</TotalTime>
  <ScaleCrop>false</ScaleCrop>
  <LinksUpToDate>false</LinksUpToDate>
  <CharactersWithSpaces>9706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2022-04-25T04:27:00Z</dcterms:created>
  <dc:creator>刘毅</dc:creator>
  <cp:lastModifiedBy>文档存本地丢失不负责</cp:lastModifiedBy>
  <cp:lastPrinted>2022-04-29T01:04:18Z</cp:lastPrinted>
  <dcterms:modified xsi:type="dcterms:W3CDTF">2022-04-29T03:17:38Z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C0E8D575777B4B208B389FA4D9E2FBE0</vt:lpwstr>
  </property>
</Properties>
</file>